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0729" w14:textId="08729B0B" w:rsidR="00321157" w:rsidRDefault="004D7438" w:rsidP="00B200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3D7485">
        <w:rPr>
          <w:rFonts w:ascii="Arial" w:hAnsi="Arial" w:cs="Arial"/>
          <w:b/>
          <w:sz w:val="24"/>
          <w:szCs w:val="24"/>
        </w:rPr>
        <w:t>ноябре</w:t>
      </w:r>
      <w:r w:rsidR="00F87AF2">
        <w:rPr>
          <w:rFonts w:ascii="Arial" w:hAnsi="Arial" w:cs="Arial"/>
          <w:b/>
          <w:sz w:val="24"/>
          <w:szCs w:val="24"/>
        </w:rPr>
        <w:t xml:space="preserve"> </w:t>
      </w:r>
      <w:r w:rsidR="00AA5D6D">
        <w:rPr>
          <w:rFonts w:ascii="Arial" w:hAnsi="Arial" w:cs="Arial"/>
          <w:b/>
          <w:sz w:val="24"/>
          <w:szCs w:val="24"/>
        </w:rPr>
        <w:t>2020 года</w:t>
      </w:r>
    </w:p>
    <w:p w14:paraId="15B88BA4" w14:textId="7A3B56FE" w:rsidR="00434C8E" w:rsidRDefault="00CD0DAE" w:rsidP="00B200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064551">
        <w:rPr>
          <w:rFonts w:ascii="Arial" w:hAnsi="Arial" w:cs="Arial"/>
        </w:rPr>
        <w:t>ноябре</w:t>
      </w:r>
      <w:r w:rsidR="007E5E81">
        <w:rPr>
          <w:rFonts w:ascii="Arial" w:hAnsi="Arial" w:cs="Arial"/>
        </w:rPr>
        <w:t xml:space="preserve"> 2020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3D7485">
        <w:rPr>
          <w:rFonts w:ascii="Arial" w:hAnsi="Arial" w:cs="Arial"/>
          <w:b/>
        </w:rPr>
        <w:t>905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F005E2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13A7D6D2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28E90318" w14:textId="567A792F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 xml:space="preserve">Вопросы </w:t>
      </w:r>
      <w:r w:rsidR="000069F6">
        <w:rPr>
          <w:rFonts w:ascii="Arial" w:hAnsi="Arial" w:cs="Arial"/>
        </w:rPr>
        <w:t>ЖКХ и благоустройства</w:t>
      </w:r>
    </w:p>
    <w:p w14:paraId="0E286A2B" w14:textId="2F76B8DA"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</w:t>
      </w:r>
      <w:r w:rsidR="00434C8E">
        <w:rPr>
          <w:rFonts w:ascii="Arial" w:hAnsi="Arial" w:cs="Arial"/>
        </w:rPr>
        <w:t>о</w:t>
      </w:r>
      <w:r w:rsidR="000069F6">
        <w:rPr>
          <w:rFonts w:ascii="Arial" w:hAnsi="Arial" w:cs="Arial"/>
        </w:rPr>
        <w:t>-имущественные</w:t>
      </w:r>
      <w:r>
        <w:rPr>
          <w:rFonts w:ascii="Arial" w:hAnsi="Arial" w:cs="Arial"/>
        </w:rPr>
        <w:t xml:space="preserve"> вопросы</w:t>
      </w:r>
    </w:p>
    <w:p w14:paraId="49455001" w14:textId="77777777" w:rsidR="00241647" w:rsidRDefault="00D04FBC" w:rsidP="00241647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241647">
        <w:rPr>
          <w:rFonts w:ascii="Arial" w:hAnsi="Arial" w:cs="Arial"/>
        </w:rPr>
        <w:t>транспорта и организации дорожного движения</w:t>
      </w:r>
    </w:p>
    <w:p w14:paraId="117C80A6" w14:textId="4348D78D" w:rsidR="00E91688" w:rsidRDefault="00FD77A5" w:rsidP="000B473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241647">
        <w:rPr>
          <w:rFonts w:ascii="Arial" w:hAnsi="Arial" w:cs="Arial"/>
        </w:rPr>
        <w:t xml:space="preserve">Вопросы капитального строительства </w:t>
      </w:r>
    </w:p>
    <w:p w14:paraId="5C821BC1" w14:textId="2DD436BC" w:rsidR="00ED1444" w:rsidRPr="00ED1444" w:rsidRDefault="00ED1444" w:rsidP="00EC7611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ED1444">
        <w:rPr>
          <w:rFonts w:ascii="Arial" w:hAnsi="Arial" w:cs="Arial"/>
        </w:rPr>
        <w:t>Вопросы градостроительного развития</w:t>
      </w:r>
    </w:p>
    <w:tbl>
      <w:tblPr>
        <w:tblW w:w="988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43"/>
        <w:gridCol w:w="1496"/>
        <w:gridCol w:w="45"/>
      </w:tblGrid>
      <w:tr w:rsidR="00E90471" w14:paraId="4D44D224" w14:textId="77777777" w:rsidTr="00F005E2">
        <w:trPr>
          <w:trHeight w:val="285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0CBAD099" w14:textId="77777777" w:rsidR="00E90471" w:rsidRPr="00E90471" w:rsidRDefault="00E904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75E1267D" w14:textId="77777777" w:rsidR="00E90471" w:rsidRPr="00E90471" w:rsidRDefault="00E904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598E905B" w14:textId="77777777" w:rsidR="00E90471" w:rsidRDefault="00E90471"/>
        </w:tc>
      </w:tr>
      <w:tr w:rsidR="00E90471" w14:paraId="53AB044D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43E9C2C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0FA2FCE" w14:textId="20A173F3" w:rsidR="00E90471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14:paraId="2908DA4A" w14:textId="77777777" w:rsidR="00E90471" w:rsidRDefault="00E90471"/>
        </w:tc>
      </w:tr>
      <w:tr w:rsidR="00E90471" w14:paraId="528E86E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2D0D962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1307586" w14:textId="2BC687E8" w:rsidR="00E90471" w:rsidRDefault="003D7485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3B193EE4" w14:textId="77777777" w:rsidR="00E90471" w:rsidRDefault="00E90471"/>
        </w:tc>
      </w:tr>
      <w:tr w:rsidR="00E90471" w14:paraId="40902FE1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0DAE5B9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8ABC9D1" w14:textId="3B780D0D" w:rsidR="00E90471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16A2812" w14:textId="77777777" w:rsidR="00E90471" w:rsidRDefault="00E90471"/>
        </w:tc>
      </w:tr>
      <w:tr w:rsidR="00E90471" w14:paraId="235CB950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6898F72" w14:textId="77777777" w:rsidR="00E90471" w:rsidRDefault="00557A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50F7E9" w14:textId="68A05119" w:rsidR="00E90471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B4363E9" w14:textId="77777777" w:rsidR="00E90471" w:rsidRDefault="00E90471"/>
        </w:tc>
      </w:tr>
      <w:tr w:rsidR="006665E2" w14:paraId="4572FB19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F74E49F" w14:textId="0A8DBF42" w:rsidR="006665E2" w:rsidRDefault="006665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735B03" w14:textId="3FE24518" w:rsidR="006665E2" w:rsidRDefault="006665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14:paraId="7E776537" w14:textId="77777777" w:rsidR="006665E2" w:rsidRDefault="006665E2"/>
        </w:tc>
      </w:tr>
      <w:tr w:rsidR="00E90471" w14:paraId="5BBFDD3B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73DF978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F984E67" w14:textId="7C2A98FE" w:rsidR="00E90471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104AF24" w14:textId="77777777" w:rsidR="00E90471" w:rsidRDefault="00E90471"/>
        </w:tc>
      </w:tr>
      <w:tr w:rsidR="00E90471" w14:paraId="5F69F69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667052C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93E5554" w14:textId="1526E2AB" w:rsidR="00E90471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75C6A61" w14:textId="77777777" w:rsidR="00E90471" w:rsidRDefault="00E90471"/>
        </w:tc>
      </w:tr>
      <w:tr w:rsidR="00E90471" w14:paraId="3C7B1C3E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F26A3AC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61F7FF" w14:textId="1A8EEC8B" w:rsidR="00E90471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73A484" w14:textId="77777777" w:rsidR="00E90471" w:rsidRDefault="00E90471"/>
        </w:tc>
      </w:tr>
      <w:tr w:rsidR="005E5FB8" w14:paraId="663105A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F74A84" w14:textId="77777777" w:rsidR="005E5FB8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EF29B8A" w14:textId="4D34B27A" w:rsidR="005E5FB8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14:paraId="3C460B6C" w14:textId="77777777" w:rsidR="005E5FB8" w:rsidRDefault="005E5FB8"/>
        </w:tc>
      </w:tr>
      <w:tr w:rsidR="00E90471" w14:paraId="4860B668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1B396B7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="00D73C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регулированию тарифно-ценовой и налоговой политики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1A9AE4A" w14:textId="4E5EBAF8" w:rsidR="00E90471" w:rsidRDefault="006665E2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590357C" w14:textId="77777777" w:rsidR="00E90471" w:rsidRDefault="00E90471"/>
        </w:tc>
      </w:tr>
      <w:tr w:rsidR="00F643A3" w14:paraId="03A45882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B2A8E9A" w14:textId="5A792599" w:rsidR="00F643A3" w:rsidRDefault="00F643A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AAD8AAD" w14:textId="74C93AD6" w:rsidR="00F643A3" w:rsidRDefault="006665E2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14:paraId="4EADFBDE" w14:textId="77777777" w:rsidR="00F643A3" w:rsidRDefault="00F643A3"/>
        </w:tc>
      </w:tr>
      <w:tr w:rsidR="002F2363" w14:paraId="1F88E366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E93BCAD" w14:textId="1E281AD1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«Мытищинское»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4BA112F" w14:textId="5BDFB7C2" w:rsidR="002F2363" w:rsidRDefault="003D7485" w:rsidP="00F005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21323E33" w14:textId="77777777" w:rsidR="002F2363" w:rsidRDefault="002F2363"/>
        </w:tc>
      </w:tr>
      <w:tr w:rsidR="002F2363" w14:paraId="729554F3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6408715" w14:textId="19B726D2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«Пироговский»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8B0932" w14:textId="038B734E" w:rsidR="002F2363" w:rsidRDefault="009E4B97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665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34EC9177" w14:textId="77777777" w:rsidR="002F2363" w:rsidRDefault="002F2363"/>
        </w:tc>
      </w:tr>
      <w:tr w:rsidR="002F2363" w14:paraId="302F602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826353A" w14:textId="54D96EC4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«Федоскино»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D4E5C2" w14:textId="5343CA86" w:rsidR="002F2363" w:rsidRDefault="006665E2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14:paraId="3E7F2EB3" w14:textId="77777777" w:rsidR="002F2363" w:rsidRDefault="002F2363"/>
        </w:tc>
      </w:tr>
      <w:tr w:rsidR="00E90471" w14:paraId="0B453D1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B62981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631C18" w14:textId="07EEB5A7" w:rsidR="00E90471" w:rsidRDefault="006665E2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3139A394" w14:textId="77777777" w:rsidR="00E90471" w:rsidRDefault="00E90471"/>
        </w:tc>
      </w:tr>
    </w:tbl>
    <w:p w14:paraId="7A461490" w14:textId="016E69CB" w:rsidR="00D03B42" w:rsidRDefault="00D03B42" w:rsidP="00D03B42">
      <w:pPr>
        <w:spacing w:line="360" w:lineRule="auto"/>
        <w:contextualSpacing/>
        <w:rPr>
          <w:rFonts w:ascii="Arial" w:hAnsi="Arial" w:cs="Arial"/>
          <w:i/>
        </w:rPr>
      </w:pPr>
    </w:p>
    <w:p w14:paraId="0F4952A0" w14:textId="5654F8F8" w:rsidR="00321157" w:rsidRDefault="009D0EA0" w:rsidP="00D03B42">
      <w:pPr>
        <w:spacing w:line="360" w:lineRule="auto"/>
        <w:contextualSpacing/>
        <w:rPr>
          <w:rFonts w:ascii="Arial" w:hAnsi="Arial" w:cs="Arial"/>
          <w:i/>
        </w:rPr>
      </w:pPr>
      <w:r w:rsidRPr="001F3B27">
        <w:rPr>
          <w:noProof/>
          <w:lang w:eastAsia="ru-RU"/>
        </w:rPr>
        <w:drawing>
          <wp:inline distT="0" distB="0" distL="0" distR="0" wp14:anchorId="31096F91" wp14:editId="5EB22AFE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84C67E" w14:textId="1E5F6201" w:rsidR="00321157" w:rsidRPr="00937FEA" w:rsidRDefault="00321157" w:rsidP="00D03B42">
      <w:pPr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 соответствии с утвержденным графиком проведения приема граждан должностными лицами администрации, в </w:t>
      </w:r>
      <w:r w:rsidR="006665E2">
        <w:rPr>
          <w:rFonts w:ascii="Arial" w:hAnsi="Arial" w:cs="Arial"/>
          <w:i/>
        </w:rPr>
        <w:t>ноябре</w:t>
      </w:r>
      <w:r>
        <w:rPr>
          <w:rFonts w:ascii="Arial" w:hAnsi="Arial" w:cs="Arial"/>
          <w:i/>
        </w:rPr>
        <w:t xml:space="preserve"> 2020 года на личном приеме принято </w:t>
      </w:r>
      <w:r w:rsidR="006665E2">
        <w:rPr>
          <w:rFonts w:ascii="Arial" w:hAnsi="Arial" w:cs="Arial"/>
          <w:i/>
        </w:rPr>
        <w:t>30</w:t>
      </w:r>
      <w:r>
        <w:rPr>
          <w:rFonts w:ascii="Arial" w:hAnsi="Arial" w:cs="Arial"/>
          <w:i/>
        </w:rPr>
        <w:t xml:space="preserve"> граждан.</w:t>
      </w:r>
    </w:p>
    <w:sectPr w:rsidR="00321157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69F6"/>
    <w:rsid w:val="000251E8"/>
    <w:rsid w:val="00033CE6"/>
    <w:rsid w:val="0003635F"/>
    <w:rsid w:val="00037341"/>
    <w:rsid w:val="00052995"/>
    <w:rsid w:val="00053558"/>
    <w:rsid w:val="000616EF"/>
    <w:rsid w:val="00064551"/>
    <w:rsid w:val="00084465"/>
    <w:rsid w:val="000868E3"/>
    <w:rsid w:val="000919BC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A5C0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1F3B27"/>
    <w:rsid w:val="0021478F"/>
    <w:rsid w:val="0021575E"/>
    <w:rsid w:val="00221DD5"/>
    <w:rsid w:val="0022690A"/>
    <w:rsid w:val="00226FF3"/>
    <w:rsid w:val="00232F73"/>
    <w:rsid w:val="00241647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C6C78"/>
    <w:rsid w:val="002E6B02"/>
    <w:rsid w:val="002F2363"/>
    <w:rsid w:val="003038A8"/>
    <w:rsid w:val="003047C6"/>
    <w:rsid w:val="00311B2A"/>
    <w:rsid w:val="00311E67"/>
    <w:rsid w:val="003149A7"/>
    <w:rsid w:val="00321157"/>
    <w:rsid w:val="00321D1C"/>
    <w:rsid w:val="00324998"/>
    <w:rsid w:val="00332A5C"/>
    <w:rsid w:val="00346CA9"/>
    <w:rsid w:val="003513E6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D7485"/>
    <w:rsid w:val="003E0352"/>
    <w:rsid w:val="003E2F1B"/>
    <w:rsid w:val="003F2926"/>
    <w:rsid w:val="00401052"/>
    <w:rsid w:val="004070DA"/>
    <w:rsid w:val="004071F2"/>
    <w:rsid w:val="004237FF"/>
    <w:rsid w:val="004239AA"/>
    <w:rsid w:val="00434C8E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0B3C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36054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6C25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5F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5E2"/>
    <w:rsid w:val="00666FC9"/>
    <w:rsid w:val="00676E37"/>
    <w:rsid w:val="00683390"/>
    <w:rsid w:val="00695372"/>
    <w:rsid w:val="00697EF8"/>
    <w:rsid w:val="006B6078"/>
    <w:rsid w:val="006C0BFA"/>
    <w:rsid w:val="006C1DD6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41836"/>
    <w:rsid w:val="00760B98"/>
    <w:rsid w:val="00770553"/>
    <w:rsid w:val="007723FB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7E7854"/>
    <w:rsid w:val="00800A3E"/>
    <w:rsid w:val="0080486C"/>
    <w:rsid w:val="008059A2"/>
    <w:rsid w:val="00806B4A"/>
    <w:rsid w:val="00807255"/>
    <w:rsid w:val="00810FFC"/>
    <w:rsid w:val="008134AC"/>
    <w:rsid w:val="00815736"/>
    <w:rsid w:val="008166D6"/>
    <w:rsid w:val="0081683A"/>
    <w:rsid w:val="008231EE"/>
    <w:rsid w:val="008305D4"/>
    <w:rsid w:val="00863E11"/>
    <w:rsid w:val="00865015"/>
    <w:rsid w:val="00866795"/>
    <w:rsid w:val="008827A5"/>
    <w:rsid w:val="00886839"/>
    <w:rsid w:val="008A0A78"/>
    <w:rsid w:val="008A72A0"/>
    <w:rsid w:val="008A7864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2F84"/>
    <w:rsid w:val="008F3CA0"/>
    <w:rsid w:val="008F4706"/>
    <w:rsid w:val="008F5A61"/>
    <w:rsid w:val="008F5ABB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0EA0"/>
    <w:rsid w:val="009D390E"/>
    <w:rsid w:val="009E4B97"/>
    <w:rsid w:val="009E5898"/>
    <w:rsid w:val="009F02C2"/>
    <w:rsid w:val="00A00044"/>
    <w:rsid w:val="00A064CD"/>
    <w:rsid w:val="00A11292"/>
    <w:rsid w:val="00A144D0"/>
    <w:rsid w:val="00A26F7C"/>
    <w:rsid w:val="00A52F16"/>
    <w:rsid w:val="00A6233D"/>
    <w:rsid w:val="00A708FC"/>
    <w:rsid w:val="00A73F94"/>
    <w:rsid w:val="00A75926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AF6EBA"/>
    <w:rsid w:val="00B005B4"/>
    <w:rsid w:val="00B01661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0BD1"/>
    <w:rsid w:val="00BC4B8F"/>
    <w:rsid w:val="00BE332B"/>
    <w:rsid w:val="00BE4855"/>
    <w:rsid w:val="00BF6B48"/>
    <w:rsid w:val="00C113FA"/>
    <w:rsid w:val="00C124E3"/>
    <w:rsid w:val="00C16B97"/>
    <w:rsid w:val="00C5094A"/>
    <w:rsid w:val="00C51E15"/>
    <w:rsid w:val="00C52686"/>
    <w:rsid w:val="00C63A68"/>
    <w:rsid w:val="00C75F9A"/>
    <w:rsid w:val="00C7690F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CF78D3"/>
    <w:rsid w:val="00D013E7"/>
    <w:rsid w:val="00D03B42"/>
    <w:rsid w:val="00D04E47"/>
    <w:rsid w:val="00D04FBC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73CF0"/>
    <w:rsid w:val="00D812A8"/>
    <w:rsid w:val="00D85F25"/>
    <w:rsid w:val="00D97DB6"/>
    <w:rsid w:val="00DA0DA5"/>
    <w:rsid w:val="00DA211C"/>
    <w:rsid w:val="00DA6B3E"/>
    <w:rsid w:val="00DB756F"/>
    <w:rsid w:val="00DC14D8"/>
    <w:rsid w:val="00DC6876"/>
    <w:rsid w:val="00E0070A"/>
    <w:rsid w:val="00E0265D"/>
    <w:rsid w:val="00E074C0"/>
    <w:rsid w:val="00E137D4"/>
    <w:rsid w:val="00E21C1C"/>
    <w:rsid w:val="00E46EB3"/>
    <w:rsid w:val="00E47AD3"/>
    <w:rsid w:val="00E52A90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1688"/>
    <w:rsid w:val="00E974B2"/>
    <w:rsid w:val="00EB022B"/>
    <w:rsid w:val="00EB08FB"/>
    <w:rsid w:val="00EC02DE"/>
    <w:rsid w:val="00EC5B9F"/>
    <w:rsid w:val="00ED1444"/>
    <w:rsid w:val="00EE1B17"/>
    <w:rsid w:val="00EF02B4"/>
    <w:rsid w:val="00EF35D9"/>
    <w:rsid w:val="00F005E2"/>
    <w:rsid w:val="00F00CB4"/>
    <w:rsid w:val="00F00D8F"/>
    <w:rsid w:val="00F0218B"/>
    <w:rsid w:val="00F0730C"/>
    <w:rsid w:val="00F2403D"/>
    <w:rsid w:val="00F25EEE"/>
    <w:rsid w:val="00F26A64"/>
    <w:rsid w:val="00F27055"/>
    <w:rsid w:val="00F315A0"/>
    <w:rsid w:val="00F37734"/>
    <w:rsid w:val="00F43EE5"/>
    <w:rsid w:val="00F510AC"/>
    <w:rsid w:val="00F6066E"/>
    <w:rsid w:val="00F61203"/>
    <w:rsid w:val="00F643A3"/>
    <w:rsid w:val="00F87AF2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D77A5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CC62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618-4987-A00F-7B380D4B5A91}"/>
              </c:ext>
            </c:extLst>
          </c:dPt>
          <c:dPt>
            <c:idx val="1"/>
            <c:bubble3D val="0"/>
            <c:explosion val="13"/>
            <c:spPr>
              <a:solidFill>
                <a:schemeClr val="accent2"/>
              </a:solidFill>
              <a:ln w="9525" cap="flat" cmpd="sng" algn="ctr">
                <a:solidFill>
                  <a:schemeClr val="accent2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618-4987-A00F-7B380D4B5A91}"/>
              </c:ext>
            </c:extLst>
          </c:dPt>
          <c:dPt>
            <c:idx val="2"/>
            <c:bubble3D val="0"/>
            <c:explosion val="16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618-4987-A00F-7B380D4B5A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FF8-46E7-A4FC-2B794D4B7C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FF8-46E7-A4FC-2B794D4B7C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CFF8-46E7-A4FC-2B794D4B7C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9525" cap="flat" cmpd="sng" algn="ctr">
                <a:solidFill>
                  <a:schemeClr val="accent1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5618-4987-A00F-7B380D4B5A9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CFF8-46E7-A4FC-2B794D4B7CA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CFF8-46E7-A4FC-2B794D4B7CA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CFF8-46E7-A4FC-2B794D4B7CA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B4EA-4328-87E0-86B3CF572CF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AC23-4433-A031-32080B26EDA3}"/>
              </c:ext>
            </c:extLst>
          </c:dPt>
          <c:cat>
            <c:strRef>
              <c:f>Лист1!$A$2:$A$13</c:f>
              <c:strCache>
                <c:ptCount val="12"/>
                <c:pt idx="0">
                  <c:v>Управление ЖКХ и благоустройства - 29,2%</c:v>
                </c:pt>
                <c:pt idx="1">
                  <c:v>Управление земельно-имущественных отношений - 23,9%</c:v>
                </c:pt>
                <c:pt idx="2">
                  <c:v>Управление транспорта и организации дорожного движения - 7,7%</c:v>
                </c:pt>
                <c:pt idx="3">
                  <c:v>Управление градостроительного развития - 5,5%</c:v>
                </c:pt>
                <c:pt idx="4">
                  <c:v>Управление капитального строительства - 7,4%</c:v>
                </c:pt>
                <c:pt idx="5">
                  <c:v>Контрольное управление - 1,5%</c:v>
                </c:pt>
                <c:pt idx="6">
                  <c:v>Управление по социальной политике - 3,2%</c:v>
                </c:pt>
                <c:pt idx="7">
                  <c:v>Административная комиссия - 1%</c:v>
                </c:pt>
                <c:pt idx="8">
                  <c:v>Управление образования - 3,8%</c:v>
                </c:pt>
                <c:pt idx="9">
                  <c:v>Управление по регулированию тарифно-ценовой и налоговой политики - 2%</c:v>
                </c:pt>
                <c:pt idx="10">
                  <c:v>Управление потребительского рынка и услуг - 1,4%</c:v>
                </c:pt>
                <c:pt idx="11">
                  <c:v>Разное - 13,4%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29.171270718232044</c:v>
                </c:pt>
                <c:pt idx="1">
                  <c:v>23.867403314917127</c:v>
                </c:pt>
                <c:pt idx="2">
                  <c:v>7.7348066298342539</c:v>
                </c:pt>
                <c:pt idx="3">
                  <c:v>5.5248618784530388</c:v>
                </c:pt>
                <c:pt idx="4">
                  <c:v>7.403314917127072</c:v>
                </c:pt>
                <c:pt idx="5">
                  <c:v>1.5469613259668509</c:v>
                </c:pt>
                <c:pt idx="6">
                  <c:v>3.2044198895027622</c:v>
                </c:pt>
                <c:pt idx="7">
                  <c:v>0.99447513812154698</c:v>
                </c:pt>
                <c:pt idx="8">
                  <c:v>3.7569060773480665</c:v>
                </c:pt>
                <c:pt idx="9">
                  <c:v>1.988950276243094</c:v>
                </c:pt>
                <c:pt idx="10">
                  <c:v>1.4364640883977902</c:v>
                </c:pt>
                <c:pt idx="11">
                  <c:v>13.370165745856353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618-4987-A00F-7B380D4B5A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CFF8-46E7-A4FC-2B794D4B7C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9525" cap="flat" cmpd="sng" algn="ctr">
                <a:solidFill>
                  <a:schemeClr val="accent2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CFF8-46E7-A4FC-2B794D4B7C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CFF8-46E7-A4FC-2B794D4B7C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B-CFF8-46E7-A4FC-2B794D4B7C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D-CFF8-46E7-A4FC-2B794D4B7C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F-CFF8-46E7-A4FC-2B794D4B7C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9525" cap="flat" cmpd="sng" algn="ctr">
                <a:solidFill>
                  <a:schemeClr val="accent1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1-CFF8-46E7-A4FC-2B794D4B7CA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3-CFF8-46E7-A4FC-2B794D4B7CA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5-CFF8-46E7-A4FC-2B794D4B7CA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7-CFF8-46E7-A4FC-2B794D4B7CA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B-B4EA-4328-87E0-86B3CF572CF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F-AC23-4433-A031-32080B26EDA3}"/>
              </c:ext>
            </c:extLst>
          </c:dPt>
          <c:cat>
            <c:strRef>
              <c:f>Лист1!$A$2:$A$13</c:f>
              <c:strCache>
                <c:ptCount val="12"/>
                <c:pt idx="0">
                  <c:v>Управление ЖКХ и благоустройства - 29,2%</c:v>
                </c:pt>
                <c:pt idx="1">
                  <c:v>Управление земельно-имущественных отношений - 23,9%</c:v>
                </c:pt>
                <c:pt idx="2">
                  <c:v>Управление транспорта и организации дорожного движения - 7,7%</c:v>
                </c:pt>
                <c:pt idx="3">
                  <c:v>Управление градостроительного развития - 5,5%</c:v>
                </c:pt>
                <c:pt idx="4">
                  <c:v>Управление капитального строительства - 7,4%</c:v>
                </c:pt>
                <c:pt idx="5">
                  <c:v>Контрольное управление - 1,5%</c:v>
                </c:pt>
                <c:pt idx="6">
                  <c:v>Управление по социальной политике - 3,2%</c:v>
                </c:pt>
                <c:pt idx="7">
                  <c:v>Административная комиссия - 1%</c:v>
                </c:pt>
                <c:pt idx="8">
                  <c:v>Управление образования - 3,8%</c:v>
                </c:pt>
                <c:pt idx="9">
                  <c:v>Управление по регулированию тарифно-ценовой и налоговой политики - 2%</c:v>
                </c:pt>
                <c:pt idx="10">
                  <c:v>Управление потребительского рынка и услуг - 1,4%</c:v>
                </c:pt>
                <c:pt idx="11">
                  <c:v>Разное - 13,4%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264</c:v>
                </c:pt>
                <c:pt idx="1">
                  <c:v>216</c:v>
                </c:pt>
                <c:pt idx="2">
                  <c:v>70</c:v>
                </c:pt>
                <c:pt idx="3">
                  <c:v>50</c:v>
                </c:pt>
                <c:pt idx="4">
                  <c:v>67</c:v>
                </c:pt>
                <c:pt idx="5">
                  <c:v>14</c:v>
                </c:pt>
                <c:pt idx="6">
                  <c:v>29</c:v>
                </c:pt>
                <c:pt idx="7">
                  <c:v>9</c:v>
                </c:pt>
                <c:pt idx="8">
                  <c:v>34</c:v>
                </c:pt>
                <c:pt idx="9">
                  <c:v>18</c:v>
                </c:pt>
                <c:pt idx="10">
                  <c:v>13</c:v>
                </c:pt>
                <c:pt idx="1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18-4987-A00F-7B380D4B5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42185997910135847"/>
          <c:y val="1.2703291951206327E-2"/>
          <c:w val="0.54889228971770365"/>
          <c:h val="0.98572550856772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4764-D26D-4019-9174-D55C02D5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6</cp:revision>
  <cp:lastPrinted>2019-08-16T13:34:00Z</cp:lastPrinted>
  <dcterms:created xsi:type="dcterms:W3CDTF">2020-12-10T11:53:00Z</dcterms:created>
  <dcterms:modified xsi:type="dcterms:W3CDTF">2020-12-10T14:22:00Z</dcterms:modified>
</cp:coreProperties>
</file>